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>
      <w:pPr>
        <w:spacing w:line="560" w:lineRule="exact"/>
        <w:jc w:val="center"/>
        <w:rPr>
          <w:rFonts w:ascii="方正小标宋简体" w:hAnsi="宋体" w:eastAsia="方正小标宋简体"/>
          <w:bCs/>
          <w:sz w:val="44"/>
          <w:szCs w:val="36"/>
        </w:rPr>
      </w:pPr>
      <w:bookmarkStart w:id="0" w:name="_GoBack"/>
      <w:r>
        <w:rPr>
          <w:rFonts w:hint="eastAsia" w:ascii="方正小标宋简体" w:hAnsi="宋体" w:eastAsia="方正小标宋简体"/>
          <w:bCs/>
          <w:sz w:val="44"/>
          <w:szCs w:val="36"/>
        </w:rPr>
        <w:t>202</w:t>
      </w:r>
      <w:r>
        <w:rPr>
          <w:rFonts w:ascii="方正小标宋简体" w:hAnsi="宋体" w:eastAsia="方正小标宋简体"/>
          <w:bCs/>
          <w:sz w:val="44"/>
          <w:szCs w:val="36"/>
        </w:rPr>
        <w:t>1</w:t>
      </w:r>
      <w:r>
        <w:rPr>
          <w:rFonts w:hint="eastAsia" w:ascii="方正小标宋简体" w:hAnsi="宋体" w:eastAsia="方正小标宋简体"/>
          <w:bCs/>
          <w:sz w:val="44"/>
          <w:szCs w:val="36"/>
        </w:rPr>
        <w:t>年山东省本科高校教改重大专项</w:t>
      </w:r>
    </w:p>
    <w:p>
      <w:pPr>
        <w:spacing w:line="560" w:lineRule="exact"/>
        <w:jc w:val="center"/>
        <w:rPr>
          <w:rFonts w:hint="eastAsia" w:ascii="方正小标宋简体" w:hAnsi="宋体" w:eastAsia="方正小标宋简体"/>
          <w:bCs/>
          <w:sz w:val="44"/>
          <w:szCs w:val="36"/>
        </w:rPr>
      </w:pPr>
      <w:r>
        <w:rPr>
          <w:rFonts w:hint="eastAsia" w:ascii="方正小标宋简体" w:hAnsi="宋体" w:eastAsia="方正小标宋简体"/>
          <w:bCs/>
          <w:sz w:val="44"/>
          <w:szCs w:val="36"/>
        </w:rPr>
        <w:t>立项选题</w:t>
      </w:r>
    </w:p>
    <w:bookmarkEnd w:id="0"/>
    <w:p>
      <w:pPr>
        <w:spacing w:line="560" w:lineRule="exact"/>
        <w:rPr>
          <w:rFonts w:ascii="仿宋_GB2312" w:hAnsi="宋体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一、习近平新时代中国特色社会主义思想进课程教材研究（高等教育）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二、高校内部评价制度的国际比较研究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三、高水平大学内部评价制度研究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四、应用型大学内部评价制度研究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五、高校现代产业学院建设研究</w:t>
      </w:r>
    </w:p>
    <w:p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六、普通高等学校大学生安全教育研究与课程建设</w:t>
      </w:r>
    </w:p>
    <w:p>
      <w:pPr>
        <w:widowControl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（说明：本项目只以子课题方式进行立项，分为以下3个子课题。各子课题核心成果需包含课程教学内容、教学大纲、在线开放课程等）</w:t>
      </w:r>
    </w:p>
    <w:p>
      <w:pPr>
        <w:widowControl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1.普通高等学校大学生国家安全教育研究（参照《大中小学国家安全教育指导纲要》）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2.普通高等学校大学生公共安全教育研究（包含但不限于公共卫生、消防安全、自然灾害、事故灾难、实验室安全等）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3.普通高等学校大学生人身安全教育研究（包含但不限于意外伤害、心理健康、食品安全、财产安全、交通安全等）</w:t>
      </w:r>
    </w:p>
    <w:p>
      <w:pPr>
        <w:widowControl/>
        <w:jc w:val="left"/>
        <w:rPr>
          <w:rFonts w:ascii="仿宋_GB2312" w:hAnsi="宋体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D151C9"/>
    <w:rsid w:val="66D1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2021-09-14T00:18:00Z</dcterms:created>
  <dc:creator>歆妈</dc:creator>
  <cp:lastModifiedBy>歆妈</cp:lastModifiedBy>
  <dcterms:modified xsi:type="dcterms:W3CDTF">2021-09-14T00:18:33Z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